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57 vom 16. September 2021</w:t>
      </w:r>
    </w:p>
    <w:p>
      <w:r>
        <w:t>VS Kantonsgericht, 2021-09-16, DE</w:t>
      </w:r>
    </w:p>
    <w:p>
      <w:r>
        <w:rPr>
          <w:b/>
        </w:rPr>
        <w:t xml:space="preserve">Quelle: </w:t>
      </w:r>
      <w:r>
        <w:t>https://mcp.opencaselaw.ch/entscheid/vs_gerichte_S1 21 57</w:t>
      </w:r>
    </w:p>
    <w:p>
      <w:r>
        <w:t>FR: VS_GERICHTE S1 21 57 du 16 septembre 2021</w:t>
      </w:r>
    </w:p>
    <w:p>
      <w:r>
        <w:t>IT: VS_GERICHTE S1 21 57 del 16 settembre 2021</w:t>
      </w:r>
    </w:p>
    <w:p>
      <w:pPr>
        <w:pStyle w:val="Heading2"/>
      </w:pPr>
      <w:r>
        <w:t>Regeste</w:t>
      </w:r>
    </w:p>
    <w:p>
      <w:r>
        <w:t>S1 21 57 URTEIL VOM 16. SEPTEMBER 2021 Kantonsgericht Wallis Sozialversicherungsrechtliche Abteilung Besetzung: Dr. Thierry Schnyder, Präsident; Candido Prada und Thomas Brunner, Kantonsrichter; Petra Stoffel, Gerichtsschreiberin in Sachen X _________, Beschwerdeführer, vertreten durch SYNA gegen KANTONALE IV-STELLE, 1950 Sitten, Beschwerdegegnerin (Resterwerbsfähigkeit) Beschwerde gegen die Verfügungen vom 22. Januar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w:t>
      </w:r>
    </w:p>
    <w:p>
      <w:r>
        <w:t>- 5 - den Akten ergebender Anhaltspunkte hinreichend Anlass besteht (BGE 119 V 347 E. 1a).</w:t>
      </w:r>
    </w:p>
    <w:p>
      <w:r>
        <w:rPr>
          <w:b/>
        </w:rPr>
        <w:t>E. 2.2</w:t>
      </w:r>
    </w:p>
    <w:p>
      <w:r>
        <w:t>Streitig und zu prüfen ist, ob die Invalidenversicherung den Gesundheitszustand des Beschwerdeführers in genügender Weise abgeklärt und gestützt darauf die Restarbeits- fähigkeit korrekt ermittelt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IVG). Seit dem 1. Januar 2004 besteht bei einem Invaliditätsgrad von mindestens 40% ein Anspruch auf eine Viertelsrente, bei einem solchen von mindestens 50% ein Anspruch auf eine halbe Rente, bei mindestens 60% ein Anspruch auf eine Dreiviertels- rente und bei mindestens 70% ein solcher auf eine ganze Rente (Art. 28 IVG).</w:t>
      </w:r>
    </w:p>
    <w:p>
      <w:r>
        <w:rPr>
          <w:b/>
        </w:rPr>
        <w:t>E. 3.2</w:t>
      </w:r>
    </w:p>
    <w:p>
      <w:r>
        <w:t>Für die Bestimmung des Invaliditätsgrads wird das Erwerbseinkommen, das eine erwerbstätige versicherte Person nach Eintritt der Invalidität und nach Durchführung der medizinischen Behandlung und allfälliger Eingliederungsmassnahmen durch eine ihr zu- mutbare Tätigkeit bei ausgeglichener Arbeitsmarktlage erzielen könnte, in Beziehung gesetzt zum Erwerbseinkommen, das sie erzielen könnte, wenn sie nicht invalid gewor- den wäre (Art. 1 Abs. 1 IVG i.V.m. Art. 16 ATSG). Für diesen Einkommensvergleich sind die Verhältnisse im Zeitpunkt des Beginns des Rentenanspruchs massgebend, wobei Validen- und Invalideneinkommen auf zeitidentischer Grundlage zu erheben und allfäl- lige rentenwirksame Änderungen der Vergleichsmethoden bis zum Verfügungserlass zu berücksichtigen sind (BGE 139 V 592 E. 2.2, 129 V 222, 128 V 174; Bundesgerichtsurteil I 155/04 vom 26. Juli 2004 E. 4).</w:t>
      </w:r>
    </w:p>
    <w:p>
      <w:r>
        <w:rPr>
          <w:b/>
        </w:rPr>
        <w:t>E. 3.3</w:t>
      </w:r>
    </w:p>
    <w:p>
      <w:r>
        <w:t>Auch wenn Gegenstand der Invalidenversicherung im erwerblichen Bereich nicht der Gesundheitsschaden an sich ist, sondern seine wirtschaftliche Auswirkung, der In- validitätsbegriff in diesem Sinne ein juristischer und kein medizinischer Begriff ist (BGE 102 V 166), sind Verwaltung und Richter zur Bemessung des Invaliditätsgrades auf die Angaben von Ärzten angewiesen. Deren Aufgabe ist es, den Gesundheitszustand zu beurteilen (Befunderhebung, Diagnosestellung) und dazu Stellung zu nehmen, in wel- chem Umfang und bezüglich welcher Tätigkeiten der Versicherte arbeitsunfähig ist. Die ärztlichen Auskünfte bilden sodann eine wichtige Grundlage für die Beurteilung der</w:t>
      </w:r>
    </w:p>
    <w:p>
      <w:r>
        <w:t>- 6 - Frage, welche Arbeitsleistungen dem Versicherten noch zugemutet werden können (BGE 140 V 193 E. 3.2, 125 V 261 E. 4; 115 V 134 E. 2).</w:t>
      </w:r>
    </w:p>
    <w:p>
      <w:r>
        <w:rPr>
          <w:b/>
        </w:rPr>
        <w:t>E. 3.4</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134 V 231 E. 5.1, 125 V 351 E. 3a mit Hinweisen; AHI 2001 S. 113 E. 3a). Das Prinzip inhaltlich einwandfreier Beweiswürdigung besagt, dass das Sozialversiche- rungsgericht alle Beweismittel objektiv zu prüfen hat, unabhängig davon, von wem sie stammen, und danach zu entscheiden hat, ob die verfügbaren Unterlagen eine zuver- lässige Beurteilung des strittigen Rechtsanspruchs gestatten. Insbesondere darf das Ge- richt bei einander widersprechenden medizinischen Berichten den Prozess nicht erledi- gen, ohne das gesamte Beweismaterial zu würdigen und die Gründe anzugeben, warum es auf die eine und nicht auf die andere medizinische These abstellt (AHI 2001 S. 113 E. 3).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w:t>
      </w:r>
    </w:p>
    <w:p>
      <w:r>
        <w:t>- 7 -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135 V 465 E. 4.4; Bundesgerichtsurteil 9C_495/2012 vom 4. Oktober 2012 E. 2.3).</w:t>
      </w:r>
    </w:p>
    <w:p>
      <w:r>
        <w:rPr>
          <w:b/>
        </w:rPr>
        <w:t>E. 4.1</w:t>
      </w:r>
    </w:p>
    <w:p>
      <w:r>
        <w:t>Der Beschwerdeführer macht geltend, sein behandelnder Hausarzt habe daraufhin gewiesen, dass seine Arbeitsunfähigkeit weit mehr als 14% betrage.</w:t>
      </w:r>
    </w:p>
    <w:p>
      <w:r>
        <w:rPr>
          <w:b/>
        </w:rPr>
        <w:t>E. 4.2</w:t>
      </w:r>
    </w:p>
    <w:p>
      <w:r>
        <w:t>Die Parteien und Ärzte stimmen darin überein, dass dem Beschwerdeführer die angestammte Tätigkeit nicht mehr zumutbar ist. Insbesondere wegen der Krafteinbusse in den Beinen ist auch eine andere körperlich mittelschwere bis schwere sowie aus- schliesslich stehende Arbeit nicht mehr möglich.</w:t>
      </w:r>
    </w:p>
    <w:p>
      <w:r>
        <w:rPr>
          <w:b/>
        </w:rPr>
        <w:t>E. 4.3</w:t>
      </w:r>
    </w:p>
    <w:p>
      <w:r>
        <w:t>Die IV-Stelle stützte sich bei ihrer Verfügung zur Beurteilung der Arbeitsfähigkeit auf die zusammenfassenden Schlussfolgerungen durch die RAD-Ärztin, die das gesamte Dossier gesichtet, eine ausführliche Anamnese erstellt, die geklagten Leiden sowie die aktuelle Situation berücksichtigt und gestützt darauf das Zumutbarkeitsprofil für die Ar- beitsfähigkeit erstellt hatte. Dabei kam sie zum Schluss, der Versicherte habe ab August 2019 einer sitzenden, leichten Arbeit wieder nachgehen können. Nach Lage der Akten liegen gegenteilige Berichte nicht vor. Gemäss den Ärzten sind schwere und aus- schliesslich stehende Arbeiten zu vermeiden. Demgegenüber spricht nichts gegen die Ansicht der RAD-Ärztin, dass eine leichte, vorzugsweise sitzende Arbeit ganztags zu 100% möglich ist. Diesen schlüssigen und übereinstimmenden Folgerungen schliesst sich das Gericht daher an. Grundsätzlich gilt im Übrigen, dass der Richter von einer während des administrativen Verfahrens eingeholten medizinischen Einschätzung, die aufgrund der gesamten Akten erfolgt und in ihrer Schlussfolgerung schlüssig ist sowie mit anderen Meinungsäusserungen übereinstimmt, nicht ohne triftigen Grund abweicht (BGE 125 V 351, 122 V 161 mit Hinweisen).</w:t>
      </w:r>
    </w:p>
    <w:p>
      <w:r>
        <w:t>- 8 -</w:t>
      </w:r>
    </w:p>
    <w:p>
      <w:r>
        <w:rPr>
          <w:b/>
        </w:rPr>
        <w:t>E. 4.4</w:t>
      </w:r>
    </w:p>
    <w:p>
      <w:r>
        <w:t>Der Beschwerdeführer nimmt Bezug auf die Berichte des behandelnden Hausarztes vom 26. Oktober 2020 und 25. Februar 2021. Daraus lassen sich hinsichtlich der Res- terwerbsfähigkeit keine gegenteiligen Schlüsse ziehen, zumal dessen Berichte keine An- gaben dazu enthalten. Dass der Beschwerdeführer in seiner angestammten Tätigkeit nicht mehr arbeitsfähig ist, ist unbestritten. Schliesslich bringt der behandelnde Arzt auch keine anderen Einschränkungen vor, als die von der RAD-Ärztin bereits berücksichtig- ten. Insofern diesbezüglich der Beschwerdeführer seine Schlafstörungen vorbringt, geht aufgrund der Akten hervor, dass er in dieser Hinsicht mit technischen Hilfsmitteln ver- sorgt wird und dadurch in einer angepassten Tätigkeit nicht zusätzlich eingeschränkt ist. Die Einwände des behandelnden Hausarztes vermögen die Schlussfolgerungen der RAD-Ärztin jedenfalls nicht zu entkräften. Diese liefert in ihren Berichten eine hinrei- chende Beweisgrundlage für die Beurteilung der Frage, ob und inwiefern dem Beschwer- deführer die Ausübung einer Erwerbstätigkeit aus gesundheitlicher Sicht objektiv mög- lich und zumutbar ist. Die entsprechenden Beurteilungen und daraus gezogenen Schlussfolgerungen sind schlüssig und widerspruchsfrei. Es sind denn auch keinerlei Gründe ersichtlich, an der Richtigkeit dieser Erkenntnisse zu zweifeln. Die ausführlich begründeten Berichte haben somit nach Massgabe der oben erwähnten Rechtspre- chung volle Beweiskraft. In Bezug auf die Darlegungen von A _________, Facharzt für Allgemeine Innere Medizin und Manuelle Medizin, ist ferner festzuhalten, dass Hausärzte und behandelnde Spezi- alärzte aufgrund ihrer besonderen Stellung zum Patienten mitunter in Zweifelsfällen eher zu Gunsten ihrer Patienten aussagen. Sie haben vorweg selten Gründe, die Angaben ihrer Patienten in Bezug auf die Arbeitsfähigkeit in Zweifel zu ziehen. In der Regel ver- trauen sie ihren Patienten, was im Auftragsverhältnis auch erwünscht ist, jedoch ihre Objektivität beeinträchtigt (BGE 135 V 465 E. 4.5, 125 V 353 E. 3a/cc; EVG-Urteil I 419/03 vom 22. Oktober 2003). Die Regel ist daher, dass sie bei Expertisen bezüglich ihrer Patienten in den Ausstand treten (AHI 2003 S. 112 E. 3b/cc). Demgegenüber steht ein unbeteiligter Experte in einer anderen Position gegenüber dem Versicherten, was eine neutrale und objektive Schlussfolgerung ermöglicht.</w:t>
      </w:r>
    </w:p>
    <w:p>
      <w:r>
        <w:rPr>
          <w:b/>
        </w:rPr>
        <w:t>E. 4.5</w:t>
      </w:r>
    </w:p>
    <w:p>
      <w:r>
        <w:t>Schliesslich vermag die subjektive Einschätzung des Versicherten für sich alleine genommen die Einschätzung der 100%igen Resterwerbsfähigkeit durch den RAD nicht zu entkräften. Es ist Aufgabe der Ärzte, aus den diagnostizierten Leiden zu schliessen, welche Arbeiten der versicherten Person in welchem Umfang weiterhin zumutbar sind. Die Ärztin hat in ihren Schlussberichten, auf die die IV-Stelle sich hauptsächlich abstützt, umfangreich Stellung genommen. Sie zog die gesamten vorliegenden IV- und SUVA-</w:t>
      </w:r>
    </w:p>
    <w:p>
      <w:r>
        <w:t>- 9 - Akten bei, erstellte die Anamnese, berücksichtigte die geklagten Leiden sowie die aktu- elle Situation und erstattete gestützt darauf Bericht. Die Leiden des Beschwerdeführers fallen in das Fachgebiet der beurteilenden Ärztin, die in Berücksichtigung sämtlicher Ele- mente zum Schluss kam, in einer angepassten Tätigkeit (leichte, sitzende Arbeiten) sei der Beschwerdeführer ab August 2019 ganztags arbeitsfähig. Diese Schlussfolgerung ist begründet, weshalb das Gericht darauf abstellt.</w:t>
      </w:r>
    </w:p>
    <w:p>
      <w:r>
        <w:rPr>
          <w:b/>
        </w:rPr>
        <w:t>E. 4.6</w:t>
      </w:r>
    </w:p>
    <w:p>
      <w:r>
        <w:t>Aus all diesen Gründen ist nicht zu beanstanden, dass die IV-Stelle auf die RAD- Berichte, welche sich inhaltlich mit den Berichten des behandelnden Hausarztes decken, abstellte und aufgrund der körperlichen Leiden des Beschwerdeführers die Ausübung einer angepassten Tätigkeit zu 100%, mit einem zusätzlichen leidensbedingten Abzug von 10% auf den Tabellenlohn, seit August 2019 als zumutbar erachtete. Konkrete Ein- wände hinsichtlich der Ablehnung des Umschulungsanspruchs wurden keine erhoben, weshalb es damit sein Bewenden hat. Die Beschwerde erweist sich mithin als unbegrün- det und ist abzuweisen. Der Vollständigkeit halber sei ergänzt, dass, soweit sich der Gesundheitszustand wieder verschlechtern sollte, der Beschwerdeführer gehalten ist, dies im Rahmen eines Revisi- onsverfahrens glaubhaft zu machen, da für die richterliche Beurteilung eines Falles grundsätzlich die tatsächlichen Verhältnisse zur Zeit des Erlasses der angefochtenen Verwaltungsverfügung (hier 22. Januar 2021) massgebend sind (BGE 116 V 248 E. 1a mit Hinweisen). Tatsachen, die jenen Sachverhalt seither verändert haben, sind Gegen- stand einer neuen Verfügung (BGE 117 V 293 E. 4).</w:t>
      </w:r>
    </w:p>
    <w:p>
      <w:r>
        <w:rPr>
          <w:b/>
        </w:rPr>
        <w:t>E. 5</w:t>
      </w:r>
    </w:p>
    <w:p>
      <w:r>
        <w:t>Gestützt auf den Grundsatz der freien Beweiswürdigung und weil der rechtserhebli- che Sachverhalt aus den Akten in casu genügend klar hervorgeht, kann auf die Erhe- bung weiterer Beweismittel verzichtet werden. Insbesondere enthalten die Akten schlüs- sige RAD-Berichte, die den Anforderungen der Rechtsprechung genügen. Dem Antrag auf weitere medizinische Abklärungen wird demzufolge nicht entsprochen (BGE 145 V 167 E. 4.1).</w:t>
      </w:r>
    </w:p>
    <w:p>
      <w:r>
        <w:rPr>
          <w:b/>
        </w:rPr>
        <w:t>E. 6.1</w:t>
      </w:r>
    </w:p>
    <w:p>
      <w:r>
        <w:t>Bei diesem Ausgang des Verfahrens sind keine Parteientschädigungen geschuldet (Kieser, ATSG-Kommentar, Schulthess 2020, Art. 61 ATSG N. 218).</w:t>
      </w:r>
    </w:p>
    <w:p>
      <w:r>
        <w:rPr>
          <w:b/>
        </w:rPr>
        <w:t>E. 6.2</w:t>
      </w:r>
    </w:p>
    <w:p>
      <w:r>
        <w:t>Gemäss Art. 61 lit. fbis ATSG i.V.m. Art. 69 Abs. 1bis IVG ist das Verfahren vor dem Kantonalen Versicherungsgericht kostenpflichtig. Aufgrund des Verfahrensaufwands (reiner Urkundenprozess) werden die Gerichtskosten in casu auf CHF 500 festgesetzt.</w:t>
      </w:r>
    </w:p>
    <w:p>
      <w:r>
        <w:t>- 10 - Auslagen sind dem Gericht keine entstanden. Entsprechend dem Ausgang des Verfahrens werden die Kosten dem Beschwerdeführer auferlegt und mit dem am 29. März 2021 geleisteten Kostenvorschuss verrechnet.</w:t>
      </w:r>
    </w:p>
    <w:p>
      <w:r>
        <w:t>Das Kantonsgericht erkennt</w:t>
      </w:r>
    </w:p>
    <w:p>
      <w:r>
        <w:t>1. Der Beschwerde wird abgewiesen. 2. Die Gerichtskosten des Beschwerdeverfahrens von CHF 500 gehen zu Lasten des Beschwerdeführers. Sie werden mit dem geleisteten Kostenvorschuss verrechnet. 3. Es werden keine Parteientschädigungen ausgerichtet.</w:t>
      </w:r>
    </w:p>
    <w:p>
      <w:r>
        <w:t>Sitten, 16.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